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02F" w14:textId="59071A0E" w:rsidR="001841FA" w:rsidRDefault="001841FA" w:rsidP="00263A2B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60631AA5" w14:textId="29576F00" w:rsidR="000F5CC0" w:rsidRPr="000F5CC0" w:rsidRDefault="000F5CC0" w:rsidP="000F5CC0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F5CC0">
        <w:rPr>
          <w:rFonts w:ascii="Arial" w:eastAsia="Times New Roman" w:hAnsi="Arial" w:cs="Arial"/>
          <w:b/>
          <w:bCs/>
          <w:sz w:val="24"/>
          <w:szCs w:val="24"/>
          <w:u w:val="single"/>
        </w:rPr>
        <w:t>ORDINANCE</w:t>
      </w:r>
      <w:r w:rsidRPr="000F5CC0">
        <w:rPr>
          <w:rFonts w:ascii="Arial" w:eastAsia="Times New Roman" w:hAnsi="Arial" w:cs="Arial"/>
          <w:b/>
          <w:bCs/>
          <w:sz w:val="48"/>
          <w:szCs w:val="48"/>
          <w:u w:val="single"/>
        </w:rPr>
        <w:t xml:space="preserve"> </w:t>
      </w:r>
      <w:r w:rsidRPr="000F5CC0">
        <w:rPr>
          <w:rFonts w:ascii="Arial" w:eastAsia="Times New Roman" w:hAnsi="Arial" w:cs="Arial"/>
          <w:b/>
          <w:bCs/>
          <w:sz w:val="24"/>
          <w:szCs w:val="24"/>
          <w:u w:val="single"/>
        </w:rPr>
        <w:t>2025-0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7</w:t>
      </w:r>
    </w:p>
    <w:p w14:paraId="20D700ED" w14:textId="58A0DEB8" w:rsidR="00084BD9" w:rsidRPr="00084BD9" w:rsidRDefault="00B77BCF" w:rsidP="00084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84BD9">
        <w:rPr>
          <w:rFonts w:ascii="Arial" w:eastAsia="Times New Roman" w:hAnsi="Arial" w:cs="Arial"/>
          <w:b/>
          <w:bCs/>
          <w:sz w:val="24"/>
          <w:szCs w:val="24"/>
        </w:rPr>
        <w:t xml:space="preserve">AN ORDINANCE OF THE TOWN COUNCIL OF THE TOWN OF LOXAHATCHEE GROVES, FLORIDA, AMENDING SECTION 20-040 “HEIGHT” OF ARTICLE 20 “RESIDENTIAL ZONING DISTRICTS,” SECTION 25-045 “HEIGHT” OF ARTICLE 25 “COMMERCIAL ZONING DISTRICTS,” SECTION 30-050 “HEIGHT” OF ARTICLE 30 “INSTITUTIONAL AND PUBLIC FACILITIES ZONING DISTRICTS,” SECTION 35-040 “HEIGHT” OF ARTICLE 35 “PARKS AND RECREATION ZONING DISTRICT,” AND SECTION 40-045 “HEIGHT” OF ARTICLE 40 “CONSERVATION DISTRICT,” WITHIN PART II “ZONING DISTRICTS” OF THE UNIFIED LAND DEVELOPMENT CODE, TO PROVIDE ADDITIONAL STANDARDS FOR THE MEASUREMENT OF HEIGHT; PROVIDING FOR CONFLICT, SEVERABILITY, CODIFICATION, AND AN EFFECTIVE DATE. </w:t>
      </w:r>
    </w:p>
    <w:p w14:paraId="31A528D4" w14:textId="77777777" w:rsidR="00307B52" w:rsidRPr="001841FA" w:rsidRDefault="00307B52" w:rsidP="00E82B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0700E138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9E5884">
        <w:rPr>
          <w:rFonts w:ascii="Arial" w:eastAsia="Times New Roman" w:hAnsi="Arial" w:cs="Arial"/>
          <w:sz w:val="24"/>
          <w:szCs w:val="24"/>
        </w:rPr>
        <w:t>),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</w:t>
      </w:r>
      <w:r w:rsidRPr="00E257BA">
        <w:rPr>
          <w:rFonts w:ascii="Arial" w:eastAsia="Times New Roman" w:hAnsi="Arial" w:cs="Arial"/>
          <w:sz w:val="24"/>
          <w:szCs w:val="24"/>
        </w:rPr>
        <w:t>boxes are checked below, this means t</w:t>
      </w:r>
      <w:r w:rsidR="001841FA" w:rsidRPr="00E257BA">
        <w:rPr>
          <w:rFonts w:ascii="Arial" w:eastAsia="Times New Roman" w:hAnsi="Arial" w:cs="Arial"/>
          <w:sz w:val="24"/>
          <w:szCs w:val="24"/>
        </w:rPr>
        <w:t xml:space="preserve">he </w:t>
      </w:r>
      <w:r w:rsidR="00E257BA" w:rsidRPr="00E257BA">
        <w:rPr>
          <w:rFonts w:ascii="Arial" w:eastAsia="Times New Roman" w:hAnsi="Arial" w:cs="Arial"/>
          <w:sz w:val="24"/>
          <w:szCs w:val="24"/>
        </w:rPr>
        <w:t xml:space="preserve">Town of Loxahatchee Groves </w:t>
      </w:r>
      <w:r w:rsidR="001841FA" w:rsidRPr="00E257BA">
        <w:rPr>
          <w:rFonts w:ascii="Arial" w:eastAsia="Times New Roman" w:hAnsi="Arial" w:cs="Arial"/>
          <w:sz w:val="24"/>
          <w:szCs w:val="24"/>
        </w:rPr>
        <w:t xml:space="preserve">is of the view that </w:t>
      </w:r>
      <w:r w:rsidR="00CD4DA1" w:rsidRPr="00E257BA">
        <w:rPr>
          <w:rFonts w:ascii="Arial" w:eastAsia="Times New Roman" w:hAnsi="Arial" w:cs="Arial"/>
          <w:sz w:val="24"/>
          <w:szCs w:val="24"/>
        </w:rPr>
        <w:t xml:space="preserve">a business impact estimate is </w:t>
      </w:r>
      <w:r w:rsidR="00CD4DA1">
        <w:rPr>
          <w:rFonts w:ascii="Arial" w:eastAsia="Times New Roman" w:hAnsi="Arial" w:cs="Arial"/>
          <w:sz w:val="24"/>
          <w:szCs w:val="24"/>
        </w:rPr>
        <w:t>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E257BA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4CF2E44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1B1BFAC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41542AB4" w:rsidR="001841FA" w:rsidRPr="001841FA" w:rsidRDefault="00000000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527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3CFC8BC8" w14:textId="127B9CD3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5884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5884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c.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lastRenderedPageBreak/>
        <w:t>d.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564C678D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</w:t>
      </w:r>
      <w:proofErr w:type="gramStart"/>
      <w:r>
        <w:rPr>
          <w:rFonts w:ascii="Arial" w:eastAsia="Times New Roman" w:hAnsi="Arial" w:cs="Arial"/>
          <w:sz w:val="24"/>
          <w:szCs w:val="24"/>
        </w:rPr>
        <w:t>even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notwithstanding the fact that an exemption noted above may apply, the </w:t>
      </w:r>
      <w:r w:rsidR="00CA7D23">
        <w:rPr>
          <w:rFonts w:ascii="Arial" w:eastAsia="Times New Roman" w:hAnsi="Arial" w:cs="Arial"/>
          <w:sz w:val="24"/>
          <w:szCs w:val="24"/>
        </w:rPr>
        <w:t>Town of Loxahatchee Groves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2537822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</w:p>
    <w:p w14:paraId="7F1F254A" w14:textId="77777777" w:rsidR="00263A2B" w:rsidRDefault="00263A2B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96916B" w14:textId="5B41C141" w:rsidR="00847F8A" w:rsidRPr="004A383E" w:rsidRDefault="00307B52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proposed ordinance </w:t>
      </w:r>
      <w:r w:rsidR="00797623">
        <w:rPr>
          <w:rFonts w:ascii="Arial" w:eastAsia="Times New Roman" w:hAnsi="Arial" w:cs="Arial"/>
          <w:b/>
          <w:bCs/>
          <w:sz w:val="24"/>
          <w:szCs w:val="24"/>
        </w:rPr>
        <w:t xml:space="preserve">limits building height to a maximum of two stories throughout the Town. Previous ordinance language established maximum building heights but did not include a maximum number of stories within the height allowance. As such, given certain building heights, especially in the non-residential categories, three stories were achievable. The Town indicated a desire for a two-story limitation regardless of overall height. 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10724F69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2B9F">
        <w:rPr>
          <w:rFonts w:ascii="Arial" w:eastAsia="Times New Roman" w:hAnsi="Arial" w:cs="Arial"/>
          <w:sz w:val="24"/>
          <w:szCs w:val="24"/>
        </w:rPr>
        <w:t xml:space="preserve">2. </w:t>
      </w:r>
      <w:r w:rsidR="0046128F" w:rsidRPr="00E82B9F">
        <w:rPr>
          <w:rFonts w:ascii="Arial" w:eastAsia="Times New Roman" w:hAnsi="Arial" w:cs="Arial"/>
          <w:sz w:val="24"/>
          <w:szCs w:val="24"/>
        </w:rPr>
        <w:t>An e</w:t>
      </w:r>
      <w:r w:rsidRPr="00E82B9F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 w:rsidRPr="00E82B9F">
        <w:rPr>
          <w:rFonts w:ascii="Arial" w:eastAsia="Times New Roman" w:hAnsi="Arial" w:cs="Arial"/>
          <w:sz w:val="24"/>
          <w:szCs w:val="24"/>
        </w:rPr>
        <w:t xml:space="preserve">the </w:t>
      </w:r>
      <w:r w:rsidRPr="00E82B9F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 w:rsidRPr="00E82B9F">
        <w:rPr>
          <w:rFonts w:ascii="Arial" w:eastAsia="Times New Roman" w:hAnsi="Arial" w:cs="Arial"/>
          <w:sz w:val="24"/>
          <w:szCs w:val="24"/>
        </w:rPr>
        <w:t>the</w:t>
      </w:r>
      <w:r w:rsidR="009D2E51">
        <w:rPr>
          <w:rFonts w:ascii="Arial" w:eastAsia="Times New Roman" w:hAnsi="Arial" w:cs="Arial"/>
          <w:sz w:val="24"/>
          <w:szCs w:val="24"/>
        </w:rPr>
        <w:t xml:space="preserve"> Town </w:t>
      </w:r>
      <w:r w:rsidR="00BB266C" w:rsidRPr="00E82B9F">
        <w:rPr>
          <w:rFonts w:ascii="Arial" w:eastAsia="Times New Roman" w:hAnsi="Arial" w:cs="Arial"/>
          <w:sz w:val="24"/>
          <w:szCs w:val="24"/>
        </w:rPr>
        <w:t>if any</w:t>
      </w:r>
      <w:r w:rsidRPr="00E82B9F">
        <w:rPr>
          <w:rFonts w:ascii="Arial" w:eastAsia="Times New Roman" w:hAnsi="Arial" w:cs="Arial"/>
          <w:sz w:val="24"/>
          <w:szCs w:val="24"/>
        </w:rPr>
        <w:t>:</w:t>
      </w:r>
    </w:p>
    <w:p w14:paraId="64A6BA97" w14:textId="77777777" w:rsidR="00FA2D2F" w:rsidRPr="00E82B9F" w:rsidRDefault="00FA2D2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7C9F4F" w14:textId="4818EEB3" w:rsidR="0046128F" w:rsidRPr="00E82B9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2B9F">
        <w:rPr>
          <w:rFonts w:ascii="Arial" w:eastAsia="Times New Roman" w:hAnsi="Arial" w:cs="Arial"/>
          <w:sz w:val="24"/>
          <w:szCs w:val="24"/>
        </w:rPr>
        <w:t>(a) An estimate of direct compliance costs that businesses may reasonably incur;</w:t>
      </w:r>
      <w:r w:rsidR="00E82B9F">
        <w:rPr>
          <w:rFonts w:ascii="Arial" w:eastAsia="Times New Roman" w:hAnsi="Arial" w:cs="Arial"/>
          <w:sz w:val="24"/>
          <w:szCs w:val="24"/>
        </w:rPr>
        <w:t xml:space="preserve"> </w:t>
      </w:r>
      <w:r w:rsidR="00797623">
        <w:rPr>
          <w:rFonts w:ascii="Arial" w:eastAsia="Times New Roman" w:hAnsi="Arial" w:cs="Arial"/>
          <w:b/>
          <w:bCs/>
          <w:sz w:val="24"/>
          <w:szCs w:val="24"/>
        </w:rPr>
        <w:t xml:space="preserve">No additional cost associated with the proposed ordinance. </w:t>
      </w:r>
      <w:r w:rsidR="004A383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2B4CDDB" w14:textId="5C3B7BA9" w:rsidR="0046128F" w:rsidRPr="00E82B9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2B9F">
        <w:rPr>
          <w:rFonts w:ascii="Arial" w:eastAsia="Times New Roman" w:hAnsi="Arial" w:cs="Arial"/>
          <w:sz w:val="24"/>
          <w:szCs w:val="24"/>
        </w:rPr>
        <w:t xml:space="preserve">(b) Any new charge or fee imposed by the proposed ordinance or for which businesses will be financially </w:t>
      </w:r>
      <w:proofErr w:type="gramStart"/>
      <w:r w:rsidRPr="00E82B9F">
        <w:rPr>
          <w:rFonts w:ascii="Arial" w:eastAsia="Times New Roman" w:hAnsi="Arial" w:cs="Arial"/>
          <w:sz w:val="24"/>
          <w:szCs w:val="24"/>
        </w:rPr>
        <w:t>responsible;</w:t>
      </w:r>
      <w:proofErr w:type="gramEnd"/>
      <w:r w:rsidRPr="00E82B9F">
        <w:rPr>
          <w:rFonts w:ascii="Arial" w:eastAsia="Times New Roman" w:hAnsi="Arial" w:cs="Arial"/>
          <w:sz w:val="24"/>
          <w:szCs w:val="24"/>
        </w:rPr>
        <w:t xml:space="preserve"> </w:t>
      </w:r>
      <w:r w:rsidR="00E82B9F">
        <w:rPr>
          <w:rFonts w:ascii="Arial" w:eastAsia="Times New Roman" w:hAnsi="Arial" w:cs="Arial"/>
          <w:b/>
          <w:bCs/>
          <w:sz w:val="24"/>
          <w:szCs w:val="24"/>
        </w:rPr>
        <w:t>NA.</w:t>
      </w:r>
    </w:p>
    <w:p w14:paraId="1C7DB3DB" w14:textId="646F6BB4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2B9F">
        <w:rPr>
          <w:rFonts w:ascii="Arial" w:eastAsia="Times New Roman" w:hAnsi="Arial" w:cs="Arial"/>
          <w:sz w:val="24"/>
          <w:szCs w:val="24"/>
        </w:rPr>
        <w:t xml:space="preserve">(c) An estimate of </w:t>
      </w:r>
      <w:r w:rsidR="009D2E51">
        <w:rPr>
          <w:rFonts w:ascii="Arial" w:eastAsia="Times New Roman" w:hAnsi="Arial" w:cs="Arial"/>
          <w:sz w:val="24"/>
          <w:szCs w:val="24"/>
        </w:rPr>
        <w:t>the Town’s</w:t>
      </w:r>
      <w:r w:rsidRPr="00E82B9F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costs.</w:t>
      </w:r>
      <w:r w:rsidR="00E82B9F" w:rsidRPr="00E82B9F">
        <w:rPr>
          <w:rFonts w:ascii="Arial" w:eastAsia="Times New Roman" w:hAnsi="Arial" w:cs="Arial"/>
          <w:b/>
          <w:bCs/>
          <w:sz w:val="24"/>
          <w:szCs w:val="24"/>
        </w:rPr>
        <w:t>NA</w:t>
      </w:r>
      <w:r w:rsidR="00E82B9F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14:paraId="5261A82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F7A1B4C" w14:textId="77777777" w:rsidR="00263A2B" w:rsidRDefault="00263A2B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7D55DD" w14:textId="546854BD" w:rsidR="00263A2B" w:rsidRPr="004A383E" w:rsidRDefault="00797623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All development will be limited to the lesser of two (2) stories or the maximum height allowance in an applicable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zoning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district. 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0EE12B49" w14:textId="77777777" w:rsidR="00263A2B" w:rsidRDefault="00263A2B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010A9D" w14:textId="31A5C47F" w:rsidR="001841FA" w:rsidRPr="004A383E" w:rsidRDefault="00D67F25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A383E">
        <w:rPr>
          <w:rFonts w:ascii="Arial" w:eastAsia="Times New Roman" w:hAnsi="Arial" w:cs="Arial"/>
          <w:b/>
          <w:bCs/>
          <w:sz w:val="24"/>
          <w:szCs w:val="24"/>
        </w:rPr>
        <w:t xml:space="preserve">NA. 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3CD0590E" w:rsidR="00ED44D5" w:rsidRDefault="00ED44D5" w:rsidP="00D26756"/>
    <w:sectPr w:rsidR="00ED44D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A883" w14:textId="77777777" w:rsidR="00E91C02" w:rsidRDefault="00E91C02" w:rsidP="003B254C">
      <w:pPr>
        <w:spacing w:after="0" w:line="240" w:lineRule="auto"/>
      </w:pPr>
      <w:r>
        <w:separator/>
      </w:r>
    </w:p>
  </w:endnote>
  <w:endnote w:type="continuationSeparator" w:id="0">
    <w:p w14:paraId="16578863" w14:textId="77777777" w:rsidR="00E91C02" w:rsidRDefault="00E91C02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038D" w14:textId="77777777" w:rsidR="00E91C02" w:rsidRDefault="00E91C02" w:rsidP="003B254C">
      <w:pPr>
        <w:spacing w:after="0" w:line="240" w:lineRule="auto"/>
      </w:pPr>
      <w:r>
        <w:separator/>
      </w:r>
    </w:p>
  </w:footnote>
  <w:footnote w:type="continuationSeparator" w:id="0">
    <w:p w14:paraId="5763F43C" w14:textId="77777777" w:rsidR="00E91C02" w:rsidRDefault="00E91C02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30014"/>
    <w:rsid w:val="00084BD9"/>
    <w:rsid w:val="000B34EC"/>
    <w:rsid w:val="000F3255"/>
    <w:rsid w:val="000F5CC0"/>
    <w:rsid w:val="00104474"/>
    <w:rsid w:val="00115CC0"/>
    <w:rsid w:val="001812BB"/>
    <w:rsid w:val="001841FA"/>
    <w:rsid w:val="001B00E1"/>
    <w:rsid w:val="001F6D58"/>
    <w:rsid w:val="00216C03"/>
    <w:rsid w:val="00246E24"/>
    <w:rsid w:val="00263A2B"/>
    <w:rsid w:val="0027527D"/>
    <w:rsid w:val="002973D1"/>
    <w:rsid w:val="002D5504"/>
    <w:rsid w:val="00307B52"/>
    <w:rsid w:val="00317989"/>
    <w:rsid w:val="0034464C"/>
    <w:rsid w:val="00362E0F"/>
    <w:rsid w:val="00373788"/>
    <w:rsid w:val="003A0B14"/>
    <w:rsid w:val="003A3148"/>
    <w:rsid w:val="003B254C"/>
    <w:rsid w:val="003B3397"/>
    <w:rsid w:val="00431F8E"/>
    <w:rsid w:val="0046128F"/>
    <w:rsid w:val="004A2FA3"/>
    <w:rsid w:val="004A383E"/>
    <w:rsid w:val="004D6F29"/>
    <w:rsid w:val="00593A02"/>
    <w:rsid w:val="005C13A0"/>
    <w:rsid w:val="005F7426"/>
    <w:rsid w:val="006015BF"/>
    <w:rsid w:val="006343BB"/>
    <w:rsid w:val="006510A4"/>
    <w:rsid w:val="006818DB"/>
    <w:rsid w:val="006A4DCB"/>
    <w:rsid w:val="00797623"/>
    <w:rsid w:val="00847F8A"/>
    <w:rsid w:val="00853ADF"/>
    <w:rsid w:val="008F3D0E"/>
    <w:rsid w:val="0096267F"/>
    <w:rsid w:val="00965A46"/>
    <w:rsid w:val="00982C98"/>
    <w:rsid w:val="00990EAD"/>
    <w:rsid w:val="009C276C"/>
    <w:rsid w:val="009D2E51"/>
    <w:rsid w:val="009E5884"/>
    <w:rsid w:val="00A40868"/>
    <w:rsid w:val="00A60D7E"/>
    <w:rsid w:val="00AF437F"/>
    <w:rsid w:val="00B609BC"/>
    <w:rsid w:val="00B77BCF"/>
    <w:rsid w:val="00BA5EDD"/>
    <w:rsid w:val="00BB266C"/>
    <w:rsid w:val="00BC1315"/>
    <w:rsid w:val="00BD1954"/>
    <w:rsid w:val="00C15619"/>
    <w:rsid w:val="00C234D2"/>
    <w:rsid w:val="00C8169B"/>
    <w:rsid w:val="00CA7D23"/>
    <w:rsid w:val="00CC4F4B"/>
    <w:rsid w:val="00CC77D5"/>
    <w:rsid w:val="00CD496F"/>
    <w:rsid w:val="00CD4DA1"/>
    <w:rsid w:val="00CE1A12"/>
    <w:rsid w:val="00D17CDA"/>
    <w:rsid w:val="00D26756"/>
    <w:rsid w:val="00D579A9"/>
    <w:rsid w:val="00D67F25"/>
    <w:rsid w:val="00E06227"/>
    <w:rsid w:val="00E257BA"/>
    <w:rsid w:val="00E82B9F"/>
    <w:rsid w:val="00E91C02"/>
    <w:rsid w:val="00E957B0"/>
    <w:rsid w:val="00EC3C22"/>
    <w:rsid w:val="00ED44D5"/>
    <w:rsid w:val="00EE1765"/>
    <w:rsid w:val="00F07C3E"/>
    <w:rsid w:val="00F6741E"/>
    <w:rsid w:val="00F701FE"/>
    <w:rsid w:val="00FA0D9A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F8C8710C-5E0D-4B70-8472-E80C311B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96DCE73933840A52D966E5F50B2ED" ma:contentTypeVersion="15" ma:contentTypeDescription="Create a new document." ma:contentTypeScope="" ma:versionID="565f48b1d6723bf2595ecf2b59e80087">
  <xsd:schema xmlns:xsd="http://www.w3.org/2001/XMLSchema" xmlns:xs="http://www.w3.org/2001/XMLSchema" xmlns:p="http://schemas.microsoft.com/office/2006/metadata/properties" xmlns:ns2="03adc3a8-9a88-4bde-a5ee-a8ce74572d2b" xmlns:ns3="977c9baf-0647-473e-9e97-aa84ecf34641" targetNamespace="http://schemas.microsoft.com/office/2006/metadata/properties" ma:root="true" ma:fieldsID="8c99f532e45b6b26c69c2399f3878cc5" ns2:_="" ns3:_="">
    <xsd:import namespace="03adc3a8-9a88-4bde-a5ee-a8ce74572d2b"/>
    <xsd:import namespace="977c9baf-0647-473e-9e97-aa84ecf34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dc3a8-9a88-4bde-a5ee-a8ce74572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4cc1434-1298-449d-b65b-3916890e9a0f}" ma:internalName="TaxCatchAll" ma:showField="CatchAllData" ma:web="03adc3a8-9a88-4bde-a5ee-a8ce74572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9baf-0647-473e-9e97-aa84ecf34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7f700-de41-466c-b7c7-7bbfa19c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c9baf-0647-473e-9e97-aa84ecf34641">
      <Terms xmlns="http://schemas.microsoft.com/office/infopath/2007/PartnerControls"/>
    </lcf76f155ced4ddcb4097134ff3c332f>
    <TaxCatchAll xmlns="03adc3a8-9a88-4bde-a5ee-a8ce74572d2b" xsi:nil="true"/>
  </documentManagement>
</p:properties>
</file>

<file path=customXml/itemProps1.xml><?xml version="1.0" encoding="utf-8"?>
<ds:datastoreItem xmlns:ds="http://schemas.openxmlformats.org/officeDocument/2006/customXml" ds:itemID="{1A63FD33-74EF-498E-BCBB-E388F0521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dc3a8-9a88-4bde-a5ee-a8ce74572d2b"/>
    <ds:schemaRef ds:uri="977c9baf-0647-473e-9e97-aa84ecf34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876B6-008B-48FB-A7F6-2F8695CB6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52C91-166F-4E09-A5D7-BF4C5F3F3693}">
  <ds:schemaRefs>
    <ds:schemaRef ds:uri="http://schemas.microsoft.com/office/2006/metadata/properties"/>
    <ds:schemaRef ds:uri="http://schemas.microsoft.com/office/infopath/2007/PartnerControls"/>
    <ds:schemaRef ds:uri="977c9baf-0647-473e-9e97-aa84ecf34641"/>
    <ds:schemaRef ds:uri="03adc3a8-9a88-4bde-a5ee-a8ce74572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Forbes</dc:creator>
  <cp:keywords/>
  <dc:description/>
  <cp:lastModifiedBy>Management Analyst</cp:lastModifiedBy>
  <cp:revision>3</cp:revision>
  <cp:lastPrinted>2025-05-27T13:03:00Z</cp:lastPrinted>
  <dcterms:created xsi:type="dcterms:W3CDTF">2025-05-27T12:21:00Z</dcterms:created>
  <dcterms:modified xsi:type="dcterms:W3CDTF">2025-05-27T13:03:00Z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0x010100DAC96DCE73933840A52D966E5F50B2ED</vt:lpwstr>
  </property>
  <property fmtid="{D5CDD505-2E9C-101B-9397-08002B2CF9AE}" pid="3" name="MediaServiceImageTags">
    <vt:lpwstr/>
  </property>
  <property fmtid="{D5CDD505-2E9C-101B-9397-08002B2CF9AE}" pid="4" name="GrammarlyDocumentId">
    <vt:lpwstr>9363aba1-8f1f-40f7-b68f-7254b3a89bc0</vt:lpwstr>
  </property>
</Properties>
</file>